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58A" w:rsidRDefault="00460CB1" w:rsidP="00DA3B31">
      <w:pPr>
        <w:rPr>
          <w:rFonts w:ascii="Georgia" w:hAnsi="Georgia"/>
        </w:rPr>
      </w:pPr>
      <w:r w:rsidRPr="00460CB1">
        <w:rPr>
          <w:rFonts w:ascii="Georgia" w:hAnsi="Georgia"/>
        </w:rPr>
        <w:t>Handout OLS 1 Achim Goerres</w:t>
      </w:r>
      <w:r w:rsidR="00A74693">
        <w:rPr>
          <w:rFonts w:ascii="Georgia" w:hAnsi="Georgia"/>
        </w:rPr>
        <w:t>,</w:t>
      </w:r>
      <w:r w:rsidR="00AE694B">
        <w:rPr>
          <w:rFonts w:ascii="Georgia" w:hAnsi="Georgia"/>
        </w:rPr>
        <w:t xml:space="preserve"> Master Methoden</w:t>
      </w:r>
    </w:p>
    <w:p w:rsidR="00460CB1" w:rsidRDefault="00460CB1" w:rsidP="0042658A">
      <w:pPr>
        <w:jc w:val="both"/>
        <w:rPr>
          <w:rFonts w:ascii="Georgia" w:hAnsi="Georgia"/>
        </w:rPr>
      </w:pPr>
      <w:r>
        <w:rPr>
          <w:rFonts w:ascii="Georgia" w:hAnsi="Georgia"/>
        </w:rPr>
        <w:t xml:space="preserve">Stellen Sie sich vor, dass der Raum, in dem Sie sitzen, Datenpunkte zu Wahlkreisen enthält. Die Höhe vom Boden zur Decke sei die Wahlbeteiligung </w:t>
      </w:r>
      <w:r w:rsidR="00B128DC">
        <w:rPr>
          <w:rFonts w:ascii="Georgia" w:hAnsi="Georgia"/>
        </w:rPr>
        <w:t xml:space="preserve">(Y) </w:t>
      </w:r>
      <w:r>
        <w:rPr>
          <w:rFonts w:ascii="Georgia" w:hAnsi="Georgia"/>
        </w:rPr>
        <w:t>zwischen 0 und 100 %. Die eine Seite des Raumes sei die Arbeitslosenquote in % der Einwohner*innen im Alter von 16-65 Jahren</w:t>
      </w:r>
      <w:r w:rsidR="00B128DC">
        <w:rPr>
          <w:rFonts w:ascii="Georgia" w:hAnsi="Georgia"/>
        </w:rPr>
        <w:t xml:space="preserve"> (X1)</w:t>
      </w:r>
      <w:r>
        <w:rPr>
          <w:rFonts w:ascii="Georgia" w:hAnsi="Georgia"/>
        </w:rPr>
        <w:t>. Die andere Seite des Raumes sei die Bevölkerungsdichte in Einwohner*innen pro km²</w:t>
      </w:r>
      <w:r w:rsidR="00B128DC">
        <w:rPr>
          <w:rFonts w:ascii="Georgia" w:hAnsi="Georgia"/>
        </w:rPr>
        <w:t xml:space="preserve"> (X2)</w:t>
      </w:r>
      <w:r>
        <w:rPr>
          <w:rFonts w:ascii="Georgia" w:hAnsi="Georgia"/>
        </w:rPr>
        <w:t xml:space="preserve">. </w:t>
      </w:r>
    </w:p>
    <w:p w:rsidR="00F22CF4" w:rsidRDefault="00B128DC" w:rsidP="0042658A">
      <w:pPr>
        <w:pStyle w:val="Listenabsatz"/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Bilden Sie</w:t>
      </w:r>
      <w:r w:rsidR="00546AE0">
        <w:rPr>
          <w:rFonts w:ascii="Georgia" w:hAnsi="Georgia"/>
        </w:rPr>
        <w:t xml:space="preserve"> einzeln</w:t>
      </w:r>
      <w:r>
        <w:rPr>
          <w:rFonts w:ascii="Georgia" w:hAnsi="Georgia"/>
        </w:rPr>
        <w:t xml:space="preserve"> einen Punkt mit einer Faust irgendwo im Raum. Bewegen Sie Ihre Faust: erhöhen Sie Y</w:t>
      </w:r>
      <w:r w:rsidR="00667AB5">
        <w:rPr>
          <w:rFonts w:ascii="Georgia" w:hAnsi="Georgia"/>
        </w:rPr>
        <w:t>, während Sie X1 und X2 konstant halten. Erhöhen Sie X1, während Sie Y und X1 konstant halten. Erhöhen Sie X2, während Sie Y und X1 konstant halten.</w:t>
      </w:r>
    </w:p>
    <w:p w:rsidR="0042658A" w:rsidRDefault="00546AE0" w:rsidP="0042658A">
      <w:pPr>
        <w:pStyle w:val="Listenabsatz"/>
        <w:numPr>
          <w:ilvl w:val="0"/>
          <w:numId w:val="5"/>
        </w:numPr>
        <w:jc w:val="both"/>
        <w:rPr>
          <w:rFonts w:ascii="Georgia" w:hAnsi="Georgia"/>
        </w:rPr>
      </w:pPr>
      <w:r w:rsidRPr="0042658A">
        <w:rPr>
          <w:rFonts w:ascii="Georgia" w:hAnsi="Georgia"/>
        </w:rPr>
        <w:t>Bilden Sie nun in einer Gruppe von mindestens vier Studierenden eine Punktwolke mit insgesamt 8 Fäusten. Halten Sie die Fäuste ruhig.</w:t>
      </w:r>
      <w:r w:rsidR="0042658A" w:rsidRPr="0042658A">
        <w:rPr>
          <w:rFonts w:ascii="Georgia" w:hAnsi="Georgia"/>
        </w:rPr>
        <w:t xml:space="preserve"> Überlegen Sie, wo die Regressionslinie hinkommt, die Y vorhersagt und die Abstände zwischen vorhergesagten Y-Werten und den tatsächlichen Y-Werten minimiert.</w:t>
      </w:r>
    </w:p>
    <w:p w:rsidR="00A74693" w:rsidRDefault="00A74693" w:rsidP="0042658A">
      <w:pPr>
        <w:pStyle w:val="Listenabsatz"/>
        <w:numPr>
          <w:ilvl w:val="0"/>
          <w:numId w:val="5"/>
        </w:numPr>
        <w:jc w:val="both"/>
        <w:rPr>
          <w:rFonts w:ascii="Georgia" w:hAnsi="Georgia"/>
        </w:rPr>
      </w:pPr>
      <w:r>
        <w:rPr>
          <w:rFonts w:ascii="Georgia" w:hAnsi="Georgia"/>
        </w:rPr>
        <w:t>Übung im Plenum mit Dachlatte und großer Datenwolke.</w:t>
      </w:r>
    </w:p>
    <w:p w:rsidR="00A74693" w:rsidRPr="00A74693" w:rsidRDefault="00A74693" w:rsidP="00A74693">
      <w:pPr>
        <w:jc w:val="both"/>
        <w:rPr>
          <w:rFonts w:ascii="Georgia" w:hAnsi="Georgia"/>
        </w:rPr>
      </w:pPr>
    </w:p>
    <w:p w:rsidR="00DA3B31" w:rsidRPr="0042658A" w:rsidRDefault="00DA3B31" w:rsidP="0042658A">
      <w:pPr>
        <w:pStyle w:val="Listenabsatz"/>
        <w:numPr>
          <w:ilvl w:val="0"/>
          <w:numId w:val="5"/>
        </w:numPr>
        <w:jc w:val="both"/>
        <w:rPr>
          <w:rFonts w:ascii="Georgia" w:hAnsi="Georgia"/>
        </w:rPr>
      </w:pPr>
      <w:r w:rsidRPr="0042658A">
        <w:rPr>
          <w:rFonts w:ascii="Georgia" w:hAnsi="Georgia"/>
        </w:rPr>
        <w:t>Was bedeutet „Drittvariablenkontrolle“</w:t>
      </w:r>
      <w:r w:rsidR="00190726" w:rsidRPr="0042658A">
        <w:rPr>
          <w:rFonts w:ascii="Georgia" w:hAnsi="Georgia"/>
        </w:rPr>
        <w:t xml:space="preserve"> bei einer multiplen Regression</w:t>
      </w:r>
      <w:r w:rsidRPr="0042658A">
        <w:rPr>
          <w:rFonts w:ascii="Georgia" w:hAnsi="Georgia"/>
        </w:rPr>
        <w:t>?</w:t>
      </w:r>
    </w:p>
    <w:p w:rsidR="00DA3B31" w:rsidRPr="00DA3B31" w:rsidRDefault="00DA3B31" w:rsidP="0042658A">
      <w:pPr>
        <w:pStyle w:val="Listenabsatz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 xml:space="preserve">Woran kann ich </w:t>
      </w:r>
      <w:r w:rsidR="00460CB1">
        <w:rPr>
          <w:rFonts w:ascii="Georgia" w:hAnsi="Georgia"/>
        </w:rPr>
        <w:t>erkennen</w:t>
      </w:r>
      <w:r>
        <w:rPr>
          <w:rFonts w:ascii="Georgia" w:hAnsi="Georgia"/>
        </w:rPr>
        <w:t xml:space="preserve">, dass ich alle </w:t>
      </w:r>
      <w:r w:rsidR="00460CB1">
        <w:rPr>
          <w:rFonts w:ascii="Georgia" w:hAnsi="Georgia"/>
        </w:rPr>
        <w:t xml:space="preserve">Drittvariablen </w:t>
      </w:r>
      <w:r w:rsidR="0042658A">
        <w:rPr>
          <w:rFonts w:ascii="Georgia" w:hAnsi="Georgia"/>
        </w:rPr>
        <w:t>in einer Regression</w:t>
      </w:r>
      <w:r>
        <w:rPr>
          <w:rFonts w:ascii="Georgia" w:hAnsi="Georgia"/>
        </w:rPr>
        <w:t xml:space="preserve"> habe?</w:t>
      </w:r>
    </w:p>
    <w:p w:rsidR="00BB54B2" w:rsidRDefault="00DA3B31" w:rsidP="0042658A">
      <w:pPr>
        <w:pStyle w:val="Listenabsatz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Warum brauchen wir in der experimentellen Forschung keine multiple Regression?</w:t>
      </w:r>
    </w:p>
    <w:p w:rsidR="00F23DE5" w:rsidRDefault="00F23DE5" w:rsidP="0042658A">
      <w:pPr>
        <w:pStyle w:val="Listenabsatz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Warum eignet sich die Darstellung mit den Pfeilen?</w:t>
      </w:r>
      <w:bookmarkStart w:id="0" w:name="_GoBack"/>
      <w:bookmarkEnd w:id="0"/>
    </w:p>
    <w:p w:rsidR="00F23DE5" w:rsidRDefault="00F23DE5" w:rsidP="0042658A">
      <w:pPr>
        <w:pStyle w:val="Listenabsatz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Warum g</w:t>
      </w:r>
      <w:r w:rsidR="00460CB1">
        <w:rPr>
          <w:rFonts w:ascii="Georgia" w:hAnsi="Georgia"/>
        </w:rPr>
        <w:t>ibt es eine Schätzung für die Unsi</w:t>
      </w:r>
      <w:r>
        <w:rPr>
          <w:rFonts w:ascii="Georgia" w:hAnsi="Georgia"/>
        </w:rPr>
        <w:t>cherheit?</w:t>
      </w:r>
    </w:p>
    <w:p w:rsidR="00F23DE5" w:rsidRDefault="007A44BF" w:rsidP="0042658A">
      <w:pPr>
        <w:pStyle w:val="Listenabsatz"/>
        <w:numPr>
          <w:ilvl w:val="0"/>
          <w:numId w:val="5"/>
        </w:numPr>
        <w:rPr>
          <w:rFonts w:ascii="Georgia" w:hAnsi="Georgia"/>
        </w:rPr>
      </w:pPr>
      <w:r>
        <w:rPr>
          <w:rFonts w:ascii="Georgia" w:hAnsi="Georgia"/>
        </w:rPr>
        <w:t>Wie viele Schätzwerte gibt es bei einer Regressionsfunktion mit einer Konstanten und vier unabhängigen Variablen?</w:t>
      </w:r>
    </w:p>
    <w:p w:rsidR="00BA0CEB" w:rsidRPr="0042658A" w:rsidRDefault="00BA0CEB" w:rsidP="0042658A">
      <w:pPr>
        <w:pStyle w:val="Listenabsatz"/>
        <w:numPr>
          <w:ilvl w:val="0"/>
          <w:numId w:val="5"/>
        </w:numPr>
        <w:jc w:val="both"/>
        <w:rPr>
          <w:rFonts w:ascii="Georgia" w:hAnsi="Georgia"/>
        </w:rPr>
      </w:pPr>
      <w:r w:rsidRPr="0042658A">
        <w:rPr>
          <w:rFonts w:ascii="Georgia" w:hAnsi="Georgia"/>
        </w:rPr>
        <w:t xml:space="preserve">Bitte laden Sie sich den </w:t>
      </w:r>
      <w:r w:rsidR="0042658A">
        <w:rPr>
          <w:rFonts w:ascii="Georgia" w:hAnsi="Georgia"/>
        </w:rPr>
        <w:t>Open-access-Artikel</w:t>
      </w:r>
      <w:r w:rsidRPr="0042658A">
        <w:rPr>
          <w:rFonts w:ascii="Georgia" w:hAnsi="Georgia"/>
        </w:rPr>
        <w:t xml:space="preserve"> Goerres/Spies/</w:t>
      </w:r>
      <w:proofErr w:type="spellStart"/>
      <w:r w:rsidRPr="0042658A">
        <w:rPr>
          <w:rFonts w:ascii="Georgia" w:hAnsi="Georgia"/>
        </w:rPr>
        <w:t>Kumlin</w:t>
      </w:r>
      <w:proofErr w:type="spellEnd"/>
      <w:r w:rsidRPr="0042658A">
        <w:rPr>
          <w:rFonts w:ascii="Georgia" w:hAnsi="Georgia"/>
        </w:rPr>
        <w:t xml:space="preserve"> 2018 zur AfD-Wahlneigung herunter. </w:t>
      </w:r>
      <w:hyperlink r:id="rId5" w:history="1">
        <w:r w:rsidRPr="0042658A">
          <w:rPr>
            <w:rStyle w:val="Hyperlink"/>
            <w:rFonts w:ascii="Georgia" w:hAnsi="Georgia"/>
          </w:rPr>
          <w:t>https://onlin</w:t>
        </w:r>
        <w:r w:rsidRPr="0042658A">
          <w:rPr>
            <w:rStyle w:val="Hyperlink"/>
            <w:rFonts w:ascii="Georgia" w:hAnsi="Georgia"/>
          </w:rPr>
          <w:t>e</w:t>
        </w:r>
        <w:r w:rsidRPr="0042658A">
          <w:rPr>
            <w:rStyle w:val="Hyperlink"/>
            <w:rFonts w:ascii="Georgia" w:hAnsi="Georgia"/>
          </w:rPr>
          <w:t>library.wiley.com/doi/pdf/10.1111/spsr.12306</w:t>
        </w:r>
      </w:hyperlink>
      <w:r w:rsidRPr="0042658A">
        <w:rPr>
          <w:rFonts w:ascii="Georgia" w:hAnsi="Georgia"/>
        </w:rPr>
        <w:t xml:space="preserve"> Es sind Umfragedaten </w:t>
      </w:r>
      <w:r w:rsidR="00190726" w:rsidRPr="0042658A">
        <w:rPr>
          <w:rFonts w:ascii="Georgia" w:hAnsi="Georgia"/>
        </w:rPr>
        <w:t xml:space="preserve">unter deutschen Staatsbürgern </w:t>
      </w:r>
      <w:r w:rsidRPr="0042658A">
        <w:rPr>
          <w:rFonts w:ascii="Georgia" w:hAnsi="Georgia"/>
        </w:rPr>
        <w:t>von 2016 (und teilweise von 2015). Behandeln Sie diese als einfache Zufallsstichprobe</w:t>
      </w:r>
      <w:r w:rsidR="00190726" w:rsidRPr="0042658A">
        <w:rPr>
          <w:rFonts w:ascii="Georgia" w:hAnsi="Georgia"/>
        </w:rPr>
        <w:t xml:space="preserve"> der erwachsenen Bevölkerung</w:t>
      </w:r>
      <w:r w:rsidRPr="0042658A">
        <w:rPr>
          <w:rFonts w:ascii="Georgia" w:hAnsi="Georgia"/>
        </w:rPr>
        <w:t>. Die abhängige Variable reicht von 0 bis 10 (wie wahrscheinlich ist es, dass Sie je die AfD wählen).</w:t>
      </w:r>
    </w:p>
    <w:p w:rsidR="00BA0CEB" w:rsidRDefault="00BA0CEB" w:rsidP="00DC1D9F">
      <w:pPr>
        <w:pStyle w:val="Listenabsatz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Schauen Sie sich die deskriptive Statistik zur abhängigen Variable an (erste Zeile, Tabelle A, S. 267). Interpretieren Sie alle vier genannten Zahlen.</w:t>
      </w:r>
    </w:p>
    <w:p w:rsidR="0042658A" w:rsidRPr="0042658A" w:rsidRDefault="0042658A" w:rsidP="0042658A">
      <w:pPr>
        <w:jc w:val="both"/>
        <w:rPr>
          <w:rFonts w:ascii="Georgia" w:hAnsi="Georgia"/>
        </w:rPr>
      </w:pPr>
      <w:r>
        <w:rPr>
          <w:noProof/>
          <w:lang w:eastAsia="de-DE"/>
        </w:rPr>
        <w:drawing>
          <wp:inline distT="0" distB="0" distL="0" distR="0" wp14:anchorId="56841862" wp14:editId="1CFF1899">
            <wp:extent cx="3097862" cy="784368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44601" cy="796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CEB" w:rsidRDefault="00BA0CEB" w:rsidP="00DC1D9F">
      <w:pPr>
        <w:pStyle w:val="Listenabsatz"/>
        <w:numPr>
          <w:ilvl w:val="0"/>
          <w:numId w:val="2"/>
        </w:numPr>
        <w:jc w:val="both"/>
        <w:rPr>
          <w:rFonts w:ascii="Georgia" w:hAnsi="Georgia"/>
        </w:rPr>
      </w:pPr>
      <w:r w:rsidRPr="00BA0CEB">
        <w:rPr>
          <w:rFonts w:ascii="Georgia" w:hAnsi="Georgia"/>
        </w:rPr>
        <w:t xml:space="preserve">Wie </w:t>
      </w:r>
      <w:r w:rsidR="00190726">
        <w:rPr>
          <w:rFonts w:ascii="Georgia" w:hAnsi="Georgia"/>
        </w:rPr>
        <w:t xml:space="preserve">sind die Variablen </w:t>
      </w:r>
      <w:proofErr w:type="spellStart"/>
      <w:r w:rsidR="00190726">
        <w:rPr>
          <w:rFonts w:ascii="Georgia" w:hAnsi="Georgia"/>
        </w:rPr>
        <w:t>Risk</w:t>
      </w:r>
      <w:proofErr w:type="spellEnd"/>
      <w:r w:rsidR="00190726">
        <w:rPr>
          <w:rFonts w:ascii="Georgia" w:hAnsi="Georgia"/>
        </w:rPr>
        <w:t xml:space="preserve"> of </w:t>
      </w:r>
      <w:proofErr w:type="spellStart"/>
      <w:r w:rsidR="00190726">
        <w:rPr>
          <w:rFonts w:ascii="Georgia" w:hAnsi="Georgia"/>
        </w:rPr>
        <w:t>u</w:t>
      </w:r>
      <w:r w:rsidRPr="00BA0CEB">
        <w:rPr>
          <w:rFonts w:ascii="Georgia" w:hAnsi="Georgia"/>
        </w:rPr>
        <w:t>nemployment</w:t>
      </w:r>
      <w:proofErr w:type="spellEnd"/>
      <w:r w:rsidRPr="00BA0CEB">
        <w:rPr>
          <w:rFonts w:ascii="Georgia" w:hAnsi="Georgia"/>
        </w:rPr>
        <w:t xml:space="preserve"> (wahrgenommene Gefahr einer persönlichen Arbeitslosigkeit) und </w:t>
      </w:r>
      <w:proofErr w:type="spellStart"/>
      <w:r w:rsidRPr="00BA0CEB">
        <w:rPr>
          <w:rFonts w:ascii="Georgia" w:hAnsi="Georgia"/>
        </w:rPr>
        <w:t>Risk</w:t>
      </w:r>
      <w:proofErr w:type="spellEnd"/>
      <w:r w:rsidRPr="00BA0CEB">
        <w:rPr>
          <w:rFonts w:ascii="Georgia" w:hAnsi="Georgia"/>
        </w:rPr>
        <w:t xml:space="preserve"> of </w:t>
      </w:r>
      <w:proofErr w:type="spellStart"/>
      <w:r w:rsidRPr="00BA0CEB">
        <w:rPr>
          <w:rFonts w:ascii="Georgia" w:hAnsi="Georgia"/>
        </w:rPr>
        <w:t>poverty</w:t>
      </w:r>
      <w:proofErr w:type="spellEnd"/>
      <w:r w:rsidRPr="00BA0CEB">
        <w:rPr>
          <w:rFonts w:ascii="Georgia" w:hAnsi="Georgia"/>
        </w:rPr>
        <w:t xml:space="preserve"> (wahrgenommene Gefahr persönlicher Armut) kodiert?</w:t>
      </w:r>
      <w:r>
        <w:rPr>
          <w:rFonts w:ascii="Georgia" w:hAnsi="Georgia"/>
        </w:rPr>
        <w:t xml:space="preserve"> Wie sind die Variablen Support </w:t>
      </w:r>
      <w:proofErr w:type="spellStart"/>
      <w:r>
        <w:rPr>
          <w:rFonts w:ascii="Georgia" w:hAnsi="Georgia"/>
        </w:rPr>
        <w:t>for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redistributive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welfare</w:t>
      </w:r>
      <w:proofErr w:type="spellEnd"/>
      <w:r>
        <w:rPr>
          <w:rFonts w:ascii="Georgia" w:hAnsi="Georgia"/>
        </w:rPr>
        <w:t xml:space="preserve"> (Unterstützung einer umverteilenden Sozialpolitik von reich zu arm) und </w:t>
      </w:r>
      <w:proofErr w:type="spellStart"/>
      <w:r>
        <w:rPr>
          <w:rFonts w:ascii="Georgia" w:hAnsi="Georgia"/>
        </w:rPr>
        <w:t>support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for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life-cycle</w:t>
      </w:r>
      <w:proofErr w:type="spellEnd"/>
      <w:r>
        <w:rPr>
          <w:rFonts w:ascii="Georgia" w:hAnsi="Georgia"/>
        </w:rPr>
        <w:t xml:space="preserve"> </w:t>
      </w:r>
      <w:proofErr w:type="spellStart"/>
      <w:r>
        <w:rPr>
          <w:rFonts w:ascii="Georgia" w:hAnsi="Georgia"/>
        </w:rPr>
        <w:t>welfare</w:t>
      </w:r>
      <w:proofErr w:type="spellEnd"/>
      <w:r>
        <w:rPr>
          <w:rFonts w:ascii="Georgia" w:hAnsi="Georgia"/>
        </w:rPr>
        <w:t xml:space="preserve"> (Unterstützung für Rente und Gesundheitsversicherung als Verteilung über den Lebenslauf) kodiert?</w:t>
      </w:r>
    </w:p>
    <w:p w:rsidR="0042658A" w:rsidRPr="0042658A" w:rsidRDefault="0042658A" w:rsidP="0042658A">
      <w:pPr>
        <w:jc w:val="both"/>
        <w:rPr>
          <w:rFonts w:ascii="Georgia" w:hAnsi="Georgia"/>
        </w:rPr>
      </w:pPr>
      <w:r>
        <w:rPr>
          <w:noProof/>
          <w:lang w:eastAsia="de-DE"/>
        </w:rPr>
        <w:drawing>
          <wp:inline distT="0" distB="0" distL="0" distR="0" wp14:anchorId="385AB885" wp14:editId="1E0B132E">
            <wp:extent cx="3097530" cy="5364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9072" cy="553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58A" w:rsidRPr="0042658A" w:rsidRDefault="0042658A" w:rsidP="0042658A">
      <w:pPr>
        <w:jc w:val="both"/>
        <w:rPr>
          <w:rFonts w:ascii="Georgia" w:hAnsi="Georgia"/>
        </w:rPr>
      </w:pPr>
      <w:r>
        <w:rPr>
          <w:noProof/>
          <w:lang w:eastAsia="de-DE"/>
        </w:rPr>
        <w:drawing>
          <wp:inline distT="0" distB="0" distL="0" distR="0" wp14:anchorId="5314B2D9" wp14:editId="3D29408F">
            <wp:extent cx="3206070" cy="511022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17467" cy="528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CEB" w:rsidRDefault="00BA0CEB" w:rsidP="00DC1D9F">
      <w:pPr>
        <w:pStyle w:val="Listenabsatz"/>
        <w:numPr>
          <w:ilvl w:val="0"/>
          <w:numId w:val="2"/>
        </w:numPr>
        <w:jc w:val="both"/>
        <w:rPr>
          <w:rFonts w:ascii="Georgia" w:hAnsi="Georgia"/>
        </w:rPr>
      </w:pPr>
      <w:r w:rsidRPr="00BA0CEB">
        <w:rPr>
          <w:rFonts w:ascii="Georgia" w:hAnsi="Georgia"/>
        </w:rPr>
        <w:t xml:space="preserve">Tabelle 1 (S. 257) enthält vier Regressionen. Wir beschäftigen uns mit der zweiten (Model 2). </w:t>
      </w:r>
      <w:r>
        <w:rPr>
          <w:rFonts w:ascii="Georgia" w:hAnsi="Georgia"/>
        </w:rPr>
        <w:t xml:space="preserve"> Interpretieren Sie den R²-Wert.</w:t>
      </w:r>
    </w:p>
    <w:p w:rsidR="00BA0CEB" w:rsidRDefault="00BA0CEB" w:rsidP="00DC1D9F">
      <w:pPr>
        <w:pStyle w:val="Listenabsatz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Interpretieren Sie die Konstante.</w:t>
      </w:r>
    </w:p>
    <w:p w:rsidR="003D100C" w:rsidRDefault="00BA0CEB" w:rsidP="00DC1D9F">
      <w:pPr>
        <w:pStyle w:val="Listenabsatz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 xml:space="preserve">Interpretieren Sie die Punktschätzungen der vier Koeffizienten der beiden </w:t>
      </w:r>
      <w:proofErr w:type="spellStart"/>
      <w:r>
        <w:rPr>
          <w:rFonts w:ascii="Georgia" w:hAnsi="Georgia"/>
        </w:rPr>
        <w:t>Risk</w:t>
      </w:r>
      <w:proofErr w:type="spellEnd"/>
      <w:r>
        <w:rPr>
          <w:rFonts w:ascii="Georgia" w:hAnsi="Georgia"/>
        </w:rPr>
        <w:t>- u</w:t>
      </w:r>
      <w:r w:rsidR="003D100C">
        <w:rPr>
          <w:rFonts w:ascii="Georgia" w:hAnsi="Georgia"/>
        </w:rPr>
        <w:t>nd der beiden Support-Variablen.</w:t>
      </w:r>
      <w:r>
        <w:rPr>
          <w:rFonts w:ascii="Georgia" w:hAnsi="Georgia"/>
        </w:rPr>
        <w:t xml:space="preserve"> </w:t>
      </w:r>
    </w:p>
    <w:p w:rsidR="00BA0CEB" w:rsidRDefault="003D100C" w:rsidP="00DC1D9F">
      <w:pPr>
        <w:pStyle w:val="Listenabsatz"/>
        <w:numPr>
          <w:ilvl w:val="0"/>
          <w:numId w:val="2"/>
        </w:numPr>
        <w:jc w:val="both"/>
        <w:rPr>
          <w:rFonts w:ascii="Georgia" w:hAnsi="Georgia"/>
        </w:rPr>
      </w:pPr>
      <w:r>
        <w:rPr>
          <w:rFonts w:ascii="Georgia" w:hAnsi="Georgia"/>
        </w:rPr>
        <w:t>I</w:t>
      </w:r>
      <w:r w:rsidR="00BA0CEB">
        <w:rPr>
          <w:rFonts w:ascii="Georgia" w:hAnsi="Georgia"/>
        </w:rPr>
        <w:t xml:space="preserve">nterpretieren Sie den </w:t>
      </w:r>
      <w:r>
        <w:rPr>
          <w:rFonts w:ascii="Georgia" w:hAnsi="Georgia"/>
        </w:rPr>
        <w:t>p-Wert in Klammern bei den vier Koeffizienten.</w:t>
      </w:r>
    </w:p>
    <w:sectPr w:rsidR="00BA0CEB" w:rsidSect="00AE6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70C10"/>
    <w:multiLevelType w:val="hybridMultilevel"/>
    <w:tmpl w:val="58E81D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0B6E63"/>
    <w:multiLevelType w:val="hybridMultilevel"/>
    <w:tmpl w:val="9F40F02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6B2A21"/>
    <w:multiLevelType w:val="hybridMultilevel"/>
    <w:tmpl w:val="E9446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8F7B69"/>
    <w:multiLevelType w:val="hybridMultilevel"/>
    <w:tmpl w:val="2156471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A256482"/>
    <w:multiLevelType w:val="hybridMultilevel"/>
    <w:tmpl w:val="2A5C677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217"/>
    <w:rsid w:val="00190726"/>
    <w:rsid w:val="00275088"/>
    <w:rsid w:val="003D100C"/>
    <w:rsid w:val="0042658A"/>
    <w:rsid w:val="00460CB1"/>
    <w:rsid w:val="00546AE0"/>
    <w:rsid w:val="00667AB5"/>
    <w:rsid w:val="007113AA"/>
    <w:rsid w:val="00711A88"/>
    <w:rsid w:val="007A44BF"/>
    <w:rsid w:val="0081295F"/>
    <w:rsid w:val="0089290A"/>
    <w:rsid w:val="00A74693"/>
    <w:rsid w:val="00AE694B"/>
    <w:rsid w:val="00B128DC"/>
    <w:rsid w:val="00BA0CEB"/>
    <w:rsid w:val="00BB54B2"/>
    <w:rsid w:val="00BF4F6F"/>
    <w:rsid w:val="00CB6217"/>
    <w:rsid w:val="00DA3B31"/>
    <w:rsid w:val="00DC1D9F"/>
    <w:rsid w:val="00E12124"/>
    <w:rsid w:val="00E61840"/>
    <w:rsid w:val="00F22CF4"/>
    <w:rsid w:val="00F2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BDE4"/>
  <w15:chartTrackingRefBased/>
  <w15:docId w15:val="{6A963F8F-F25D-4720-BCEF-8DEC3DEC8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3B3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A0CEB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42658A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75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onlinelibrary.wiley.com/doi/pdf/10.1111/spsr.1230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Duisburg-Essen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goerres</dc:creator>
  <cp:keywords/>
  <dc:description/>
  <cp:lastModifiedBy>goerres</cp:lastModifiedBy>
  <cp:revision>2</cp:revision>
  <cp:lastPrinted>2022-11-30T19:44:00Z</cp:lastPrinted>
  <dcterms:created xsi:type="dcterms:W3CDTF">2022-11-30T19:50:00Z</dcterms:created>
  <dcterms:modified xsi:type="dcterms:W3CDTF">2022-11-30T19:50:00Z</dcterms:modified>
</cp:coreProperties>
</file>